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zayu9o6uirrr" w:id="0"/>
      <w:bookmarkEnd w:id="0"/>
      <w:r w:rsidDel="00000000" w:rsidR="00000000" w:rsidRPr="00000000">
        <w:rPr>
          <w:rtl w:val="0"/>
        </w:rPr>
        <w:t xml:space="preserve">15. tétel - TCP flow control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6gppyq4vmnc" w:id="1"/>
      <w:bookmarkEnd w:id="1"/>
      <w:r w:rsidDel="00000000" w:rsidR="00000000" w:rsidRPr="00000000">
        <w:rPr>
          <w:rtl w:val="0"/>
        </w:rPr>
        <w:t xml:space="preserve">Sliding window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734050" cy="18669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866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adatáramlás szabályozása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window ~ buffer mérete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csomagküldés telejsen hibamentes és tökéletes: állandó window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nyílik: jobbra megy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zárás: 0 lesz a mérete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Shrink: jobb széle balra megy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crtp3gizawq9" w:id="2"/>
      <w:bookmarkEnd w:id="2"/>
      <w:r w:rsidDel="00000000" w:rsidR="00000000" w:rsidRPr="00000000">
        <w:rPr>
          <w:rtl w:val="0"/>
        </w:rPr>
        <w:t xml:space="preserve">Kapcsolatépítés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TCPkapcsolat építés 3 lépése: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kezdeményező SYN-t küld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Jön egy ACK és egy SYN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Visszamegy az ACK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Kezdeményező: aktív open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elszenvedett: passzív open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7j8erc1fodvk" w:id="3"/>
      <w:bookmarkEnd w:id="3"/>
      <w:r w:rsidDel="00000000" w:rsidR="00000000" w:rsidRPr="00000000">
        <w:rPr>
          <w:rtl w:val="0"/>
        </w:rPr>
        <w:t xml:space="preserve">Kapcsolat zárás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kezdeményező küld egy FIN-t B-nek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kap egy ACK-ot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ha már B sem akar küldeni visszaküld egy FIN-t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és a kezdeményező küld egy ACK-ot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ezután megszánik a kapcsolat.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Kezdeményező: aktív close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Elszenvedett: passzív close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74epvr7iak40" w:id="4"/>
      <w:bookmarkEnd w:id="4"/>
      <w:r w:rsidDel="00000000" w:rsidR="00000000" w:rsidRPr="00000000">
        <w:rPr>
          <w:rtl w:val="0"/>
        </w:rPr>
        <w:t xml:space="preserve">TCP syn flood támadás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egy gép folyton SYN flages csomagokat küld random portokról/IP-kről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 támadó gép küldené az ACKokat, de nem bír velük -&gt; DOS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nobfqdopokmq" w:id="5"/>
      <w:bookmarkEnd w:id="5"/>
      <w:r w:rsidDel="00000000" w:rsidR="00000000" w:rsidRPr="00000000">
        <w:rPr>
          <w:rtl w:val="0"/>
        </w:rPr>
        <w:t xml:space="preserve">TIME_WAIT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Az aktív closet végrehajtó utolsó állapotánál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már megkapta a FIN-t, és elküldte az ACK-ot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 mi van ha az ACK elveszik, ezért vár 2MSL ideig utána zár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MSL: ennyi ideig lehet egy szegmens a hálózaon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3re0okj2b4l2" w:id="6"/>
      <w:bookmarkEnd w:id="6"/>
      <w:r w:rsidDel="00000000" w:rsidR="00000000" w:rsidRPr="00000000">
        <w:rPr>
          <w:rtl w:val="0"/>
        </w:rPr>
        <w:t xml:space="preserve">TCP reset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 és B kapcsolatban van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E bejuttatt egy Resetet és így felbontja a kapcsolatot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IP-ket portokat, sequence numbert tudni kell hozzá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bws1dka9pash" w:id="7"/>
      <w:bookmarkEnd w:id="7"/>
      <w:r w:rsidDel="00000000" w:rsidR="00000000" w:rsidRPr="00000000">
        <w:rPr>
          <w:rtl w:val="0"/>
        </w:rPr>
        <w:t xml:space="preserve">TCP retransmission timer (RTO)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Ha RTO ideig nem jön ACK egy csomagra, újra kell küldeni, mert elveszett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egy időérték - Round Time Tripből (idő amíg odaér + ACK ideje) számoljuk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edsv7761g329" w:id="8"/>
      <w:bookmarkEnd w:id="8"/>
      <w:r w:rsidDel="00000000" w:rsidR="00000000" w:rsidRPr="00000000">
        <w:rPr>
          <w:rtl w:val="0"/>
        </w:rPr>
        <w:t xml:space="preserve">Delayed ack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Nem azonnal küldünk ACK-ot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várunk még, hátha jön még adat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vagy hátha mi küldünk, amivel tudunk egyben nyugtázni is (piggy back)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dnnse0xgc40w" w:id="9"/>
      <w:bookmarkEnd w:id="9"/>
      <w:r w:rsidDel="00000000" w:rsidR="00000000" w:rsidRPr="00000000">
        <w:rPr>
          <w:rtl w:val="0"/>
        </w:rPr>
        <w:t xml:space="preserve">Slow start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nem csak a fogadó, hanem a küldő is flow controlt alkalmaz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kiegyensúlyozza a hálózat sebességét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lassan növeljük a csomagokat amiket küdlünk, a hálózat max kapacitásáig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congestion window - reciver window - egyensúly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vkmm2f2wduxh" w:id="10"/>
      <w:bookmarkEnd w:id="10"/>
      <w:r w:rsidDel="00000000" w:rsidR="00000000" w:rsidRPr="00000000">
        <w:rPr>
          <w:rtl w:val="0"/>
        </w:rPr>
        <w:t xml:space="preserve">Passzív ftp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Az adatkapcsolatot nem a szerver nyitja hanem a kliens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PASV paranccsal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kliens ephemeral portja és a kapott port között nyílik kapcsoal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