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E2C343" w14:textId="77777777" w:rsidR="006D7D0E" w:rsidRDefault="00F804B5" w:rsidP="00F804B5">
      <w:pPr>
        <w:pStyle w:val="Cm"/>
      </w:pPr>
      <w:r>
        <w:t>6. Pontrendszerek</w:t>
      </w:r>
    </w:p>
    <w:p w14:paraId="5969A4A0" w14:textId="77777777" w:rsidR="00F804B5" w:rsidRDefault="00F804B5" w:rsidP="00F804B5">
      <w:pPr>
        <w:pStyle w:val="Cmsor1"/>
      </w:pPr>
      <w:r>
        <w:t>Pontrendszer fogalma, erők osztályozása.</w:t>
      </w:r>
    </w:p>
    <w:p w14:paraId="44DD6C4F" w14:textId="77777777" w:rsidR="00F804B5" w:rsidRDefault="00F804B5" w:rsidP="00F804B5">
      <w:pPr>
        <w:pStyle w:val="Listaszerbekezds"/>
        <w:numPr>
          <w:ilvl w:val="0"/>
          <w:numId w:val="1"/>
        </w:numPr>
      </w:pPr>
      <w:r>
        <w:t>A pontrendszerek olyan testek, illetve anyagi rendszerek, amelyek diszkrét (elkülönült) pontokból állnak.</w:t>
      </w:r>
    </w:p>
    <w:p w14:paraId="7D90F8E6" w14:textId="77777777" w:rsidR="00F804B5" w:rsidRDefault="00F804B5" w:rsidP="00F804B5">
      <w:pPr>
        <w:pStyle w:val="Listaszerbekezds"/>
        <w:numPr>
          <w:ilvl w:val="0"/>
          <w:numId w:val="1"/>
        </w:numPr>
      </w:pPr>
      <w:r>
        <w:t>Az egyetlen megkötés, hogy a pontrendszer két eleme között ható erő mindig centrális legyen, vagyis, hogy az erő hatásvonala a két pontot összekötő egyenesbe esik.</w:t>
      </w:r>
    </w:p>
    <w:p w14:paraId="3DA98677" w14:textId="77777777" w:rsidR="00F804B5" w:rsidRDefault="00F804B5" w:rsidP="00F804B5">
      <w:pPr>
        <w:pStyle w:val="Listaszerbekezds"/>
        <w:numPr>
          <w:ilvl w:val="0"/>
          <w:numId w:val="1"/>
        </w:numPr>
      </w:pPr>
      <w:r>
        <w:t>A pontrendszer tagjai között ható erőket belső erőknek, a rendszeren kívüli testektől származó erőket külső erőknek nevezzük.</w:t>
      </w:r>
    </w:p>
    <w:p w14:paraId="2B986743" w14:textId="77777777" w:rsidR="00F804B5" w:rsidRDefault="00F804B5" w:rsidP="00F804B5">
      <w:pPr>
        <w:pStyle w:val="Cmsor1"/>
      </w:pPr>
      <w:r>
        <w:t>Impulzustétel pontrendszerre</w:t>
      </w:r>
    </w:p>
    <w:p w14:paraId="10BE3BA0" w14:textId="77777777" w:rsidR="00F804B5" w:rsidRPr="00F804B5" w:rsidRDefault="00F804B5" w:rsidP="00F804B5">
      <w:pPr>
        <w:pStyle w:val="Listaszerbekezds"/>
        <w:ind w:left="360"/>
        <w:rPr>
          <w:rFonts w:eastAsiaTheme="minorEastAsia"/>
        </w:rPr>
      </w:pPr>
      <m:oMathPara>
        <m:oMath>
          <m:acc>
            <m:accPr>
              <m:chr m:val="̇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I</m:t>
              </m:r>
            </m:e>
          </m:acc>
          <m: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</m:t>
              </m:r>
            </m:sub>
            <m:sup/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</w:rPr>
                    <m:t>(k)</m:t>
                  </m:r>
                </m:sup>
              </m:sSubSup>
            </m:e>
          </m:nary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e</m:t>
              </m:r>
            </m:sub>
            <m:sup>
              <m:r>
                <w:rPr>
                  <w:rFonts w:ascii="Cambria Math" w:hAnsi="Cambria Math"/>
                </w:rPr>
                <m:t>(k)</m:t>
              </m:r>
            </m:sup>
          </m:sSubSup>
          <m:r>
            <w:rPr>
              <w:rFonts w:ascii="Cambria Math" w:hAnsi="Cambria Math"/>
            </w:rPr>
            <m:t xml:space="preserve">,  </m:t>
          </m:r>
          <m:r>
            <m:rPr>
              <m:sty m:val="p"/>
            </m:rPr>
            <w:rPr>
              <w:rFonts w:ascii="Cambria Math" w:hAnsi="Cambria Math"/>
            </w:rPr>
            <m:t>Δ</m:t>
          </m:r>
          <m:r>
            <w:rPr>
              <w:rFonts w:ascii="Cambria Math" w:hAnsi="Cambria Math"/>
            </w:rPr>
            <m:t>I=</m:t>
          </m:r>
          <m:nary>
            <m:naryPr>
              <m:limLoc m:val="subSup"/>
              <m:ctrlPr>
                <w:rPr>
                  <w:rFonts w:ascii="Cambria Math" w:hAnsi="Cambria Math"/>
                  <w:i/>
                </w:rPr>
              </m:ctrlPr>
            </m:naryPr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sub>
            <m: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sup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e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</m:d>
                </m:sup>
              </m:sSubSup>
            </m:e>
          </m:nary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τ</m:t>
              </m:r>
            </m:e>
          </m:d>
          <m:r>
            <w:rPr>
              <w:rFonts w:ascii="Cambria Math" w:hAnsi="Cambria Math"/>
            </w:rPr>
            <m:t xml:space="preserve"> dτ</m:t>
          </m:r>
        </m:oMath>
      </m:oMathPara>
    </w:p>
    <w:p w14:paraId="6D022B22" w14:textId="77777777" w:rsidR="00F804B5" w:rsidRDefault="00F804B5" w:rsidP="00F804B5">
      <w:pPr>
        <w:pStyle w:val="Listaszerbekezds"/>
        <w:numPr>
          <w:ilvl w:val="0"/>
          <w:numId w:val="3"/>
        </w:numPr>
      </w:pPr>
      <w:r>
        <w:t>A tételből következik, hogy ha pontrendszerre ható külső erők eredője zérus, akkor a rendszer összimpulzusa állandó.</w:t>
      </w:r>
    </w:p>
    <w:p w14:paraId="073DB888" w14:textId="77777777" w:rsidR="00F804B5" w:rsidRDefault="00F804B5" w:rsidP="00F804B5">
      <w:pPr>
        <w:pStyle w:val="Cmsor1"/>
      </w:pPr>
      <w:r>
        <w:t>Tömegközéppont tétel</w:t>
      </w:r>
    </w:p>
    <w:p w14:paraId="65DCF293" w14:textId="77777777" w:rsidR="00415E61" w:rsidRPr="00415E61" w:rsidRDefault="00415E61" w:rsidP="00415E61">
      <w:pPr>
        <w:pStyle w:val="Listaszerbekezds"/>
        <w:numPr>
          <w:ilvl w:val="0"/>
          <w:numId w:val="3"/>
        </w:numPr>
      </w:pPr>
      <w:r>
        <w:t>Azt a pontot, melynek helyvektora a</w:t>
      </w:r>
    </w:p>
    <w:p w14:paraId="6852E1F1" w14:textId="77777777" w:rsidR="00415E61" w:rsidRPr="00415E61" w:rsidRDefault="00415E61" w:rsidP="00415E61">
      <w:pPr>
        <w:pStyle w:val="Listaszerbekezds"/>
        <w:ind w:left="360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</w:rPr>
                <m:t>TKP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naryPr>
                <m:sub>
                  <m:r>
                    <w:rPr>
                      <w:rFonts w:ascii="Cambria Math" w:eastAsiaTheme="minorEastAsia" w:hAnsi="Cambria Math"/>
                    </w:rPr>
                    <m:t>i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i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i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naryPr>
                <m:sub>
                  <m:r>
                    <w:rPr>
                      <w:rFonts w:ascii="Cambria Math" w:eastAsiaTheme="minorEastAsia" w:hAnsi="Cambria Math"/>
                    </w:rPr>
                    <m:t>i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i</m:t>
                      </m:r>
                    </m:sub>
                  </m:sSub>
                </m:e>
              </m:nary>
            </m:den>
          </m:f>
        </m:oMath>
      </m:oMathPara>
    </w:p>
    <w:p w14:paraId="4EB2D402" w14:textId="77777777" w:rsidR="00415E61" w:rsidRPr="00415E61" w:rsidRDefault="00415E61" w:rsidP="00415E61">
      <w:pPr>
        <w:pStyle w:val="Listaszerbekezds"/>
        <w:ind w:left="360"/>
        <w:rPr>
          <w:rFonts w:eastAsiaTheme="minorEastAsia"/>
        </w:rPr>
      </w:pPr>
      <w:r>
        <w:rPr>
          <w:rFonts w:eastAsiaTheme="minorEastAsia"/>
        </w:rPr>
        <w:t>a pontrendszer tömegközéppontjának nevezzük.</w:t>
      </w:r>
    </w:p>
    <w:p w14:paraId="3D7C3B6D" w14:textId="77777777" w:rsidR="00415E61" w:rsidRDefault="00415E61" w:rsidP="00415E61">
      <w:pPr>
        <w:pStyle w:val="Listaszerbekezds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>A tömegközéppont tétel kimondja, hogy bármely pontrendszer tömegközéppontja úgy mozog, mintha benne volna egyesítve a rendszer össztömege, s rá a külső erők vektori eredője hatna.</w:t>
      </w:r>
    </w:p>
    <w:p w14:paraId="6200913F" w14:textId="77777777" w:rsidR="00415E61" w:rsidRPr="004C3692" w:rsidRDefault="00415E61" w:rsidP="00415E61">
      <w:pPr>
        <w:pStyle w:val="Listaszerbekezds"/>
        <w:ind w:left="360"/>
        <w:rPr>
          <w:rFonts w:eastAsiaTheme="minorEastAsia"/>
        </w:rPr>
      </w:pPr>
      <m:oMathPara>
        <m:oMath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w:rPr>
                  <w:rFonts w:ascii="Cambria Math" w:eastAsiaTheme="minorEastAsia" w:hAnsi="Cambria Math"/>
                </w:rPr>
                <m:t>F</m:t>
              </m:r>
            </m:e>
            <m:sub>
              <m:r>
                <w:rPr>
                  <w:rFonts w:ascii="Cambria Math" w:eastAsiaTheme="minorEastAsia" w:hAnsi="Cambria Math"/>
                </w:rPr>
                <m:t>e</m:t>
              </m:r>
            </m:sub>
            <m:sup>
              <m:r>
                <w:rPr>
                  <w:rFonts w:ascii="Cambria Math" w:eastAsiaTheme="minorEastAsia" w:hAnsi="Cambria Math"/>
                </w:rPr>
                <m:t>(k)</m:t>
              </m:r>
            </m:sup>
          </m:sSubSup>
          <m:r>
            <w:rPr>
              <w:rFonts w:ascii="Cambria Math" w:eastAsiaTheme="minorEastAsia" w:hAnsi="Cambria Math"/>
            </w:rPr>
            <m:t>=M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TKP</m:t>
              </m:r>
            </m:sub>
          </m:sSub>
          <m:r>
            <w:rPr>
              <w:rFonts w:ascii="Cambria Math" w:eastAsiaTheme="minorEastAsia" w:hAnsi="Cambria Math"/>
            </w:rPr>
            <m:t>=M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acc>
                <m:accPr>
                  <m:chr m:val="̈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</w:rPr>
                <m:t>TKP</m:t>
              </m:r>
            </m:sub>
          </m:sSub>
        </m:oMath>
      </m:oMathPara>
    </w:p>
    <w:p w14:paraId="4AD1171F" w14:textId="77777777" w:rsidR="004C3692" w:rsidRDefault="004C3692" w:rsidP="004C3692">
      <w:pPr>
        <w:pStyle w:val="Listaszerbekezds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 xml:space="preserve">Ha a külső erők eredője zérus, akkor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TKP</m:t>
            </m:r>
          </m:sub>
        </m:sSub>
      </m:oMath>
      <w:r>
        <w:rPr>
          <w:rFonts w:eastAsiaTheme="minorEastAsia"/>
        </w:rPr>
        <w:t xml:space="preserve"> is az, tehát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v</m:t>
            </m:r>
          </m:e>
          <m:sub>
            <m:r>
              <w:rPr>
                <w:rFonts w:ascii="Cambria Math" w:eastAsiaTheme="minorEastAsia" w:hAnsi="Cambria Math"/>
              </w:rPr>
              <m:t>TKP</m:t>
            </m:r>
          </m:sub>
        </m:sSub>
      </m:oMath>
      <w:r>
        <w:rPr>
          <w:rFonts w:eastAsiaTheme="minorEastAsia"/>
        </w:rPr>
        <w:t xml:space="preserve"> állandó. Ebből levonhatjuk azt a következtetést, hogy amennyiben a rendszerre ható külső erők eredője nulla, akkor a tömegközéppont nyugalomban marad, vagy egyenes vonalú egyenletes mozgást végez.</w:t>
      </w:r>
    </w:p>
    <w:p w14:paraId="5270D60E" w14:textId="77777777" w:rsidR="004C3692" w:rsidRDefault="004C3692" w:rsidP="004C3692">
      <w:pPr>
        <w:pStyle w:val="Cmsor1"/>
        <w:rPr>
          <w:rFonts w:eastAsiaTheme="minorEastAsia"/>
        </w:rPr>
      </w:pPr>
      <w:r>
        <w:rPr>
          <w:rFonts w:eastAsiaTheme="minorEastAsia"/>
        </w:rPr>
        <w:t>Impulzusmomentum-tétel pontrendszerre.</w:t>
      </w:r>
    </w:p>
    <w:p w14:paraId="4DD0B01A" w14:textId="77777777" w:rsidR="004C3692" w:rsidRDefault="004C3692" w:rsidP="004C3692">
      <w:pPr>
        <w:pStyle w:val="Listaszerbekezds"/>
        <w:numPr>
          <w:ilvl w:val="0"/>
          <w:numId w:val="3"/>
        </w:numPr>
      </w:pPr>
      <w:r>
        <w:t>A pontrendszerre ható külső erők forgatónyomatékának vektori összege, megegyezik a pontrendszer összimpulzusmomentum-változásának és az eltelt időnek a hányadosával.</w:t>
      </w:r>
    </w:p>
    <w:p w14:paraId="5A00A731" w14:textId="77777777" w:rsidR="004C3692" w:rsidRPr="004C3692" w:rsidRDefault="004C3692" w:rsidP="004C3692">
      <w:pPr>
        <w:pStyle w:val="Listaszerbekezds"/>
        <w:ind w:left="360"/>
        <w:rPr>
          <w:rFonts w:eastAsiaTheme="minorEastAsia"/>
        </w:rPr>
      </w:pPr>
      <m:oMathPara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</m:t>
              </m:r>
            </m:sub>
            <m:sup/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</w:rPr>
                    <m:t>(k)</m:t>
                  </m:r>
                </m:sup>
              </m:sSubSup>
            </m:e>
          </m:nary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r>
                <w:rPr>
                  <w:rFonts w:ascii="Cambria Math" w:hAnsi="Cambria Math"/>
                </w:rPr>
                <m:t>N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r>
                <w:rPr>
                  <w:rFonts w:ascii="Cambria Math" w:hAnsi="Cambria Math"/>
                </w:rPr>
                <m:t>t</m:t>
              </m:r>
            </m:den>
          </m:f>
        </m:oMath>
      </m:oMathPara>
    </w:p>
    <w:p w14:paraId="661AE328" w14:textId="77777777" w:rsidR="004C3692" w:rsidRDefault="004C3692" w:rsidP="004C3692">
      <w:pPr>
        <w:pStyle w:val="Listaszerbekezds"/>
        <w:numPr>
          <w:ilvl w:val="0"/>
          <w:numId w:val="3"/>
        </w:numPr>
      </w:pPr>
      <w:r>
        <w:t>Következmény: Ha a rendszerre ható külső erők forgatónyomatéka 0, akkor a rendszer összimpulzusmomentuma állandó.</w:t>
      </w:r>
    </w:p>
    <w:p w14:paraId="30896600" w14:textId="77777777" w:rsidR="004C3692" w:rsidRDefault="004C3692" w:rsidP="004C3692">
      <w:pPr>
        <w:pStyle w:val="Cmsor1"/>
      </w:pPr>
      <w:r>
        <w:t>Munkatétel</w:t>
      </w:r>
    </w:p>
    <w:p w14:paraId="221ADA21" w14:textId="77777777" w:rsidR="004C3692" w:rsidRDefault="004C3692" w:rsidP="004C3692">
      <w:pPr>
        <w:rPr>
          <w:i/>
        </w:rPr>
      </w:pPr>
      <w:r>
        <w:rPr>
          <w:i/>
        </w:rPr>
        <w:t>Csutkára leírtam az előző tételnél</w:t>
      </w:r>
    </w:p>
    <w:p w14:paraId="7B2EEC71" w14:textId="77777777" w:rsidR="004C3692" w:rsidRDefault="004C3692" w:rsidP="004C3692">
      <w:pPr>
        <w:pStyle w:val="Cmsor1"/>
      </w:pPr>
      <w:r>
        <w:t>Zárt rendszerre vonatkozó tételek</w:t>
      </w:r>
    </w:p>
    <w:p w14:paraId="52319DB1" w14:textId="77777777" w:rsidR="004C3692" w:rsidRDefault="004C3692" w:rsidP="004C3692">
      <w:pPr>
        <w:pStyle w:val="Listaszerbekezds"/>
        <w:numPr>
          <w:ilvl w:val="0"/>
          <w:numId w:val="3"/>
        </w:numPr>
      </w:pPr>
      <w:r>
        <w:t>Azt a rendszert, amelyre ható külső erők eredője zérus, zárt rendszernek nevezzük.</w:t>
      </w:r>
    </w:p>
    <w:p w14:paraId="547B65D8" w14:textId="77777777" w:rsidR="004C3692" w:rsidRDefault="004C3692" w:rsidP="004C3692">
      <w:pPr>
        <w:pStyle w:val="Listaszerbekezds"/>
        <w:numPr>
          <w:ilvl w:val="0"/>
          <w:numId w:val="3"/>
        </w:numPr>
      </w:pPr>
      <w:r>
        <w:t>Az impulzustételből és a perdülettételből következik, hogy zárt rendszer összimpulzusa és perdülete állandó.</w:t>
      </w:r>
    </w:p>
    <w:p w14:paraId="1CFEE171" w14:textId="77777777" w:rsidR="004C3692" w:rsidRPr="004C3692" w:rsidRDefault="004C3692" w:rsidP="004C3692">
      <w:pPr>
        <w:pStyle w:val="Listaszerbekezds"/>
        <w:numPr>
          <w:ilvl w:val="0"/>
          <w:numId w:val="3"/>
        </w:numPr>
      </w:pPr>
      <w:r>
        <w:lastRenderedPageBreak/>
        <w:t xml:space="preserve">A munkatétel pedig </w:t>
      </w:r>
      <m:oMath>
        <m:r>
          <m:rPr>
            <m:sty m:val="p"/>
          </m:rPr>
          <w:rPr>
            <w:rFonts w:ascii="Cambria Math" w:hAnsi="Cambria Math"/>
          </w:rPr>
          <m:t>Δ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W</m:t>
            </m:r>
          </m:e>
          <m:sup>
            <m:r>
              <w:rPr>
                <w:rFonts w:ascii="Cambria Math" w:hAnsi="Cambria Math"/>
              </w:rPr>
              <m:t>(b)</m:t>
            </m:r>
          </m:sup>
        </m:sSup>
      </m:oMath>
      <w:r>
        <w:rPr>
          <w:rFonts w:eastAsiaTheme="minorEastAsia"/>
        </w:rPr>
        <w:t>, vagyis a kinetikus energia megváltozása egyenlő a zárt rendszer belső erőinek munkájával.</w:t>
      </w:r>
    </w:p>
    <w:p w14:paraId="791B7AF2" w14:textId="77777777" w:rsidR="004C3692" w:rsidRDefault="004C3692" w:rsidP="004C3692">
      <w:pPr>
        <w:pStyle w:val="Cmsor1"/>
      </w:pPr>
      <w:r>
        <w:t>Ütközések</w:t>
      </w:r>
    </w:p>
    <w:p w14:paraId="2E48A062" w14:textId="77777777" w:rsidR="004C3692" w:rsidRDefault="004C3692" w:rsidP="004C3692">
      <w:pPr>
        <w:pStyle w:val="Listaszerbekezds"/>
        <w:numPr>
          <w:ilvl w:val="0"/>
          <w:numId w:val="4"/>
        </w:numPr>
      </w:pPr>
      <w:r>
        <w:t>Ütközésről akkor beszélünk, ha két test között rövid ideig egy olyan erős kölcsönhatás lép fel, hogy az egyéb erőhatások elhanyagolhatók.</w:t>
      </w:r>
    </w:p>
    <w:p w14:paraId="333D9CDB" w14:textId="77777777" w:rsidR="004C3692" w:rsidRDefault="00612EBC" w:rsidP="004C3692">
      <w:pPr>
        <w:pStyle w:val="Listaszerbekezds"/>
        <w:numPr>
          <w:ilvl w:val="0"/>
          <w:numId w:val="4"/>
        </w:numPr>
      </w:pPr>
      <w:r>
        <w:t>Feltételezzük,</w:t>
      </w:r>
      <w:r w:rsidR="004C3692">
        <w:t xml:space="preserve"> hogy egy pontban </w:t>
      </w:r>
      <w:r>
        <w:t>érintkeznek, és ebből közös érintősík húzható. A közös érintősíkra az érintési ponton keresztül állított merőlegest az ütközési normálisnak nevezzük.</w:t>
      </w:r>
    </w:p>
    <w:p w14:paraId="5DB73B73" w14:textId="77777777" w:rsidR="00612EBC" w:rsidRDefault="00612EBC" w:rsidP="004C3692">
      <w:pPr>
        <w:pStyle w:val="Listaszerbekezds"/>
        <w:numPr>
          <w:ilvl w:val="0"/>
          <w:numId w:val="4"/>
        </w:numPr>
      </w:pPr>
      <w:r>
        <w:t>Egyenes ütközésről akkor beszélünk, ha az ütköző testek mindegyikének sebessége az ütközési normálisba esik.</w:t>
      </w:r>
    </w:p>
    <w:p w14:paraId="597085F7" w14:textId="77777777" w:rsidR="00612EBC" w:rsidRDefault="00612EBC" w:rsidP="004C3692">
      <w:pPr>
        <w:pStyle w:val="Listaszerbekezds"/>
        <w:numPr>
          <w:ilvl w:val="0"/>
          <w:numId w:val="4"/>
        </w:numPr>
      </w:pPr>
      <w:r>
        <w:t>Centrális, egyenes ütközés során ütköző testek ütközés előtti és utáni sebességvektorai a két test tömeg középpontját összekötő egyenes irányába mutatnak.</w:t>
      </w:r>
    </w:p>
    <w:p w14:paraId="4CD030BE" w14:textId="77777777" w:rsidR="00612EBC" w:rsidRDefault="00612EBC" w:rsidP="00612EBC">
      <w:pPr>
        <w:pStyle w:val="Listaszerbekezds"/>
        <w:numPr>
          <w:ilvl w:val="0"/>
          <w:numId w:val="4"/>
        </w:numPr>
      </w:pPr>
      <w:r>
        <w:t>Az ütközéseket leírhatjuk megmaradási tételekkel.</w:t>
      </w:r>
    </w:p>
    <w:p w14:paraId="69EAC4F5" w14:textId="77777777" w:rsidR="00612EBC" w:rsidRDefault="00612EBC" w:rsidP="00612EBC">
      <w:pPr>
        <w:pStyle w:val="Cmsor1"/>
      </w:pPr>
      <w:r>
        <w:t>Tökéletesen rugalmas ütközések</w:t>
      </w:r>
    </w:p>
    <w:p w14:paraId="6E92E655" w14:textId="77777777" w:rsidR="00612EBC" w:rsidRDefault="00612EBC" w:rsidP="00612EBC">
      <w:pPr>
        <w:pStyle w:val="Listaszerbekezds"/>
        <w:numPr>
          <w:ilvl w:val="0"/>
          <w:numId w:val="5"/>
        </w:numPr>
      </w:pPr>
      <w:r>
        <w:t>Ha a testek mozgási energiája az ütközés előtt és az ütközés után megegyezik.</w:t>
      </w:r>
    </w:p>
    <w:p w14:paraId="149B4A56" w14:textId="77777777" w:rsidR="00612EBC" w:rsidRDefault="00612EBC" w:rsidP="00612EBC">
      <w:pPr>
        <w:pStyle w:val="Listaszerbekezds"/>
        <w:numPr>
          <w:ilvl w:val="0"/>
          <w:numId w:val="5"/>
        </w:numPr>
      </w:pPr>
      <w:r>
        <w:t>Impulzus megmaradásból, és mozgási energia megmaradásból könnyen kikövetkeztethetők a tételek.</w:t>
      </w:r>
    </w:p>
    <w:p w14:paraId="247F77AC" w14:textId="77777777" w:rsidR="00612EBC" w:rsidRPr="00612EBC" w:rsidRDefault="00612EBC" w:rsidP="00612EBC">
      <w:pPr>
        <w:pStyle w:val="Listaszerbekezds"/>
        <w:ind w:left="360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eastAsiaTheme="minorEastAsia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</m:oMath>
      </m:oMathPara>
    </w:p>
    <w:p w14:paraId="491EBE53" w14:textId="77777777" w:rsidR="00612EBC" w:rsidRPr="00612EBC" w:rsidRDefault="00612EBC" w:rsidP="00612EBC">
      <w:pPr>
        <w:pStyle w:val="Listaszerbekezds"/>
        <w:ind w:left="360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</m:sSubSup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v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w:rPr>
                  <w:rFonts w:ascii="Cambria Math" w:hAnsi="Cambria Math"/>
                </w:rPr>
                <m:t>2</m:t>
              </m:r>
              <m:ctrlPr>
                <w:rPr>
                  <w:rFonts w:ascii="Cambria Math" w:hAnsi="Cambria Math"/>
                  <w:i/>
                </w:rPr>
              </m:ctrlPr>
            </m:sub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bSup>
          <m: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u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w:rPr>
                  <w:rFonts w:ascii="Cambria Math" w:hAnsi="Cambria Math"/>
                </w:rPr>
                <m:t>1</m:t>
              </m:r>
              <m:ctrlPr>
                <w:rPr>
                  <w:rFonts w:ascii="Cambria Math" w:hAnsi="Cambria Math"/>
                  <w:i/>
                </w:rPr>
              </m:ctrlPr>
            </m:sub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bSup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</m:sSubSup>
        </m:oMath>
      </m:oMathPara>
    </w:p>
    <w:p w14:paraId="3B7862E0" w14:textId="77777777" w:rsidR="00612EBC" w:rsidRDefault="00612EBC" w:rsidP="00612EBC">
      <w:pPr>
        <w:pStyle w:val="Cmsor1"/>
      </w:pPr>
      <w:r>
        <w:t>Rugalmatlan ütközések</w:t>
      </w:r>
    </w:p>
    <w:p w14:paraId="1475F45C" w14:textId="77777777" w:rsidR="00612EBC" w:rsidRDefault="00612EBC" w:rsidP="00612EBC">
      <w:pPr>
        <w:pStyle w:val="Listaszerbekezds"/>
        <w:numPr>
          <w:ilvl w:val="0"/>
          <w:numId w:val="6"/>
        </w:numPr>
      </w:pPr>
      <w:r w:rsidRPr="00612EBC">
        <w:t>Két test ütközését tökéletesen rugalmasnak tekintjük, ha a testek összes mozgási energiája az ütközés előtt és az ütközés után megegyezik.</w:t>
      </w:r>
    </w:p>
    <w:p w14:paraId="0C2C1DC1" w14:textId="77777777" w:rsidR="00612EBC" w:rsidRDefault="00612EBC" w:rsidP="00612EBC">
      <w:pPr>
        <w:pStyle w:val="Listaszerbekezds"/>
        <w:numPr>
          <w:ilvl w:val="0"/>
          <w:numId w:val="6"/>
        </w:numPr>
      </w:pPr>
      <w:r>
        <w:t xml:space="preserve">Ilyenkor a két test ütközés után közös sebességgel mozog tovább. </w:t>
      </w:r>
    </w:p>
    <w:p w14:paraId="137E2EA9" w14:textId="77777777" w:rsidR="00966906" w:rsidRPr="00966906" w:rsidRDefault="00966906" w:rsidP="00966906">
      <w:pPr>
        <w:pStyle w:val="Listaszerbekezds"/>
        <w:ind w:left="360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e>
          </m:d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</m:oMath>
      </m:oMathPara>
    </w:p>
    <w:p w14:paraId="6AD0D00D" w14:textId="77777777" w:rsidR="00966906" w:rsidRPr="00966906" w:rsidRDefault="00966906" w:rsidP="00966906">
      <w:pPr>
        <w:pStyle w:val="Listaszerbekezds"/>
        <w:ind w:left="360"/>
        <w:rPr>
          <w:rFonts w:eastAsiaTheme="minorEastAsia"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m:t>Δ</m:t>
          </m:r>
          <m:r>
            <w:rPr>
              <w:rFonts w:ascii="Cambria Math" w:hAnsi="Cambria Math"/>
            </w:rPr>
            <m:t>E=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</m:sSubSup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v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w:rPr>
                  <w:rFonts w:ascii="Cambria Math" w:hAnsi="Cambria Math"/>
                </w:rPr>
                <m:t>2</m:t>
              </m:r>
              <m:ctrlPr>
                <w:rPr>
                  <w:rFonts w:ascii="Cambria Math" w:hAnsi="Cambria Math"/>
                  <w:i/>
                </w:rPr>
              </m:ctrlPr>
            </m:sub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bSup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e>
          </m:d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</m:sSubSup>
        </m:oMath>
      </m:oMathPara>
    </w:p>
    <w:p w14:paraId="67CA6793" w14:textId="77777777" w:rsidR="00966906" w:rsidRDefault="00966906" w:rsidP="00966906">
      <w:pPr>
        <w:pStyle w:val="Cmsor1"/>
      </w:pPr>
      <w:r>
        <w:t>Ballisztikus inga</w:t>
      </w:r>
    </w:p>
    <w:p w14:paraId="5AF45F1F" w14:textId="77777777" w:rsidR="00966906" w:rsidRDefault="00966906" w:rsidP="00966906">
      <w:pPr>
        <w:pStyle w:val="Listaszerbekezds"/>
        <w:numPr>
          <w:ilvl w:val="0"/>
          <w:numId w:val="7"/>
        </w:numPr>
      </w:pPr>
      <w:r>
        <w:rPr>
          <w:noProof/>
          <w:lang w:eastAsia="hu-HU"/>
        </w:rPr>
        <w:drawing>
          <wp:anchor distT="0" distB="0" distL="114300" distR="114300" simplePos="0" relativeHeight="251658240" behindDoc="1" locked="0" layoutInCell="1" allowOverlap="1" wp14:anchorId="10BAAA0F" wp14:editId="641AB2D3">
            <wp:simplePos x="0" y="0"/>
            <wp:positionH relativeFrom="margin">
              <wp:align>right</wp:align>
            </wp:positionH>
            <wp:positionV relativeFrom="paragraph">
              <wp:posOffset>7620</wp:posOffset>
            </wp:positionV>
            <wp:extent cx="2000250" cy="1952625"/>
            <wp:effectExtent l="0" t="0" r="0" b="9525"/>
            <wp:wrapTight wrapText="bothSides">
              <wp:wrapPolygon edited="0">
                <wp:start x="0" y="0"/>
                <wp:lineTo x="0" y="21495"/>
                <wp:lineTo x="21394" y="21495"/>
                <wp:lineTo x="21394" y="0"/>
                <wp:lineTo x="0" y="0"/>
              </wp:wrapPolygon>
            </wp:wrapTight>
            <wp:docPr id="1" name="Kép 1" descr="https://cdn.geogebra.org/material/2bTvn1KjmTbE40EshgAuW8yQpbUYVrpA/material-f004BRL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dn.geogebra.org/material/2bTvn1KjmTbE40EshgAuW8yQpbUYVrpA/material-f004BRLB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931" t="24885" r="35343" b="24602"/>
                    <a:stretch/>
                  </pic:blipFill>
                  <pic:spPr bwMode="auto">
                    <a:xfrm>
                      <a:off x="0" y="0"/>
                      <a:ext cx="2000250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A ballisztikus inga egy olyan összeállítás, ami az ábrán látható. Segítségével mérhetjük egy lövedék sebességét.</w:t>
      </w:r>
    </w:p>
    <w:p w14:paraId="6BF2179A" w14:textId="77777777" w:rsidR="00966906" w:rsidRPr="00966906" w:rsidRDefault="00966906" w:rsidP="00966906">
      <w:pPr>
        <w:pStyle w:val="Listaszerbekezds"/>
        <w:numPr>
          <w:ilvl w:val="0"/>
          <w:numId w:val="7"/>
        </w:numPr>
      </w:pPr>
      <m:oMath>
        <m:r>
          <w:rPr>
            <w:rFonts w:ascii="Cambria Math" w:hAnsi="Cambria Math"/>
          </w:rPr>
          <m:t>l</m:t>
        </m:r>
      </m:oMath>
      <w:r>
        <w:rPr>
          <w:rFonts w:eastAsiaTheme="minorEastAsia"/>
        </w:rPr>
        <w:t xml:space="preserve">: az ingafonál hossza, </w:t>
      </w:r>
      <m:oMath>
        <m:r>
          <w:rPr>
            <w:rFonts w:ascii="Cambria Math" w:eastAsiaTheme="minorEastAsia" w:hAnsi="Cambria Math"/>
          </w:rPr>
          <m:t>M</m:t>
        </m:r>
      </m:oMath>
      <w:r>
        <w:rPr>
          <w:rFonts w:eastAsiaTheme="minorEastAsia"/>
        </w:rPr>
        <w:t xml:space="preserve">: a homokzsák tömege, </w:t>
      </w:r>
      <m:oMath>
        <m:r>
          <w:rPr>
            <w:rFonts w:ascii="Cambria Math" w:eastAsiaTheme="minorEastAsia" w:hAnsi="Cambria Math"/>
          </w:rPr>
          <m:t>m</m:t>
        </m:r>
      </m:oMath>
      <w:r>
        <w:rPr>
          <w:rFonts w:eastAsiaTheme="minorEastAsia"/>
        </w:rPr>
        <w:t>: a lövedék tömege.</w:t>
      </w:r>
    </w:p>
    <w:p w14:paraId="41806C00" w14:textId="77777777" w:rsidR="00966906" w:rsidRPr="00966906" w:rsidRDefault="00966906" w:rsidP="00966906">
      <w:pPr>
        <w:pStyle w:val="Listaszerbekezds"/>
        <w:numPr>
          <w:ilvl w:val="0"/>
          <w:numId w:val="7"/>
        </w:numPr>
      </w:pPr>
      <w:r>
        <w:t xml:space="preserve">A kilendülést a függőlegestől való eltérést jellemző </w:t>
      </w:r>
      <m:oMath>
        <m:r>
          <w:rPr>
            <w:rFonts w:ascii="Cambria Math" w:hAnsi="Cambria Math"/>
          </w:rPr>
          <m:t>φ</m:t>
        </m:r>
      </m:oMath>
      <w:r>
        <w:rPr>
          <w:rFonts w:eastAsiaTheme="minorEastAsia"/>
        </w:rPr>
        <w:t xml:space="preserve"> szög fog megadni.</w:t>
      </w:r>
    </w:p>
    <w:p w14:paraId="76BC1BFB" w14:textId="77777777" w:rsidR="00966906" w:rsidRDefault="00966906" w:rsidP="00966906">
      <w:pPr>
        <w:pStyle w:val="Listaszerbekezds"/>
        <w:numPr>
          <w:ilvl w:val="0"/>
          <w:numId w:val="7"/>
        </w:numPr>
      </w:pPr>
      <w:r>
        <w:t>A golyó becsapódását egy tökéletesen rugalmas ütközésnek mondhatjuk.</w:t>
      </w:r>
    </w:p>
    <w:p w14:paraId="298A602D" w14:textId="77777777" w:rsidR="00966906" w:rsidRDefault="00966906" w:rsidP="00966906">
      <w:pPr>
        <w:pStyle w:val="Listaszerbekezds"/>
        <w:numPr>
          <w:ilvl w:val="0"/>
          <w:numId w:val="7"/>
        </w:numPr>
      </w:pPr>
      <w:r>
        <w:t>Erre felírhatjuk a következő összefüggéseket:</w:t>
      </w:r>
    </w:p>
    <w:p w14:paraId="3C9858B8" w14:textId="77777777" w:rsidR="00966906" w:rsidRPr="00966906" w:rsidRDefault="00966906" w:rsidP="00966906">
      <w:pPr>
        <w:pStyle w:val="Listaszerbekezds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mv=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m+M</m:t>
              </m:r>
            </m:e>
          </m:d>
          <m:r>
            <w:rPr>
              <w:rFonts w:ascii="Cambria Math" w:hAnsi="Cambria Math"/>
            </w:rPr>
            <m:t>c</m:t>
          </m:r>
        </m:oMath>
      </m:oMathPara>
    </w:p>
    <w:p w14:paraId="3B90516D" w14:textId="77777777" w:rsidR="00966906" w:rsidRPr="002F7DB9" w:rsidRDefault="00966906" w:rsidP="00966906">
      <w:pPr>
        <w:pStyle w:val="Listaszerbekezds"/>
        <w:ind w:left="360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w:rPr>
              <w:rFonts w:ascii="Cambria Math" w:eastAsiaTheme="minorEastAsia" w:hAnsi="Cambria Math"/>
            </w:rPr>
            <m:t>m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v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m+M</m:t>
              </m:r>
            </m:e>
          </m:d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c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m+M</m:t>
              </m:r>
            </m:e>
          </m:d>
          <m:r>
            <w:rPr>
              <w:rFonts w:ascii="Cambria Math" w:eastAsiaTheme="minorEastAsia" w:hAnsi="Cambria Math"/>
            </w:rPr>
            <m:t>gh=gl(1-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cos</m:t>
              </m:r>
            </m:fName>
            <m:e>
              <m:r>
                <w:rPr>
                  <w:rFonts w:ascii="Cambria Math" w:eastAsiaTheme="minorEastAsia" w:hAnsi="Cambria Math"/>
                </w:rPr>
                <m:t>φ)</m:t>
              </m:r>
            </m:e>
          </m:func>
        </m:oMath>
      </m:oMathPara>
    </w:p>
    <w:p w14:paraId="2A90A07C" w14:textId="77777777" w:rsidR="002F7DB9" w:rsidRDefault="002F7DB9" w:rsidP="002F7DB9">
      <w:pPr>
        <w:pStyle w:val="Cmsor1"/>
        <w:rPr>
          <w:rFonts w:eastAsiaTheme="minorEastAsia"/>
        </w:rPr>
      </w:pPr>
      <w:r>
        <w:rPr>
          <w:rFonts w:eastAsiaTheme="minorEastAsia"/>
        </w:rPr>
        <w:lastRenderedPageBreak/>
        <w:t>Rakéta mozgása</w:t>
      </w:r>
    </w:p>
    <w:p w14:paraId="09697F61" w14:textId="77777777" w:rsidR="00C015CA" w:rsidRPr="00C015CA" w:rsidRDefault="00C015CA" w:rsidP="00C015CA">
      <w:pPr>
        <w:pStyle w:val="Listaszerbekezds"/>
        <w:numPr>
          <w:ilvl w:val="0"/>
          <w:numId w:val="9"/>
        </w:numPr>
        <w:jc w:val="both"/>
      </w:pPr>
      <w:r>
        <w:rPr>
          <w:noProof/>
          <w:lang w:eastAsia="hu-HU"/>
        </w:rPr>
        <w:drawing>
          <wp:anchor distT="0" distB="0" distL="114300" distR="114300" simplePos="0" relativeHeight="251659264" behindDoc="1" locked="0" layoutInCell="1" allowOverlap="1" wp14:anchorId="0A60155F" wp14:editId="2320A60B">
            <wp:simplePos x="0" y="0"/>
            <wp:positionH relativeFrom="margin">
              <wp:align>left</wp:align>
            </wp:positionH>
            <wp:positionV relativeFrom="paragraph">
              <wp:posOffset>17780</wp:posOffset>
            </wp:positionV>
            <wp:extent cx="1866900" cy="1809750"/>
            <wp:effectExtent l="0" t="0" r="0" b="0"/>
            <wp:wrapTight wrapText="bothSides">
              <wp:wrapPolygon edited="0">
                <wp:start x="0" y="0"/>
                <wp:lineTo x="0" y="21373"/>
                <wp:lineTo x="21380" y="21373"/>
                <wp:lineTo x="21380" y="0"/>
                <wp:lineTo x="0" y="0"/>
              </wp:wrapPolygon>
            </wp:wrapTight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644CC">
        <w:t>A</w:t>
      </w:r>
      <w:r>
        <w:t xml:space="preserve"> rakétamozgás szemléltetésére kitűnően alkalmas az a kísérlet, melynek során egy M tömegű kiskocsira rögzített rugó elé, -melyet összenyomott állapotban cérnával összekötünk - </w:t>
      </w:r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m</m:t>
        </m:r>
      </m:oMath>
      <w:r>
        <w:rPr>
          <w:rFonts w:eastAsiaTheme="minorEastAsia"/>
        </w:rPr>
        <w:t xml:space="preserve"> tömegű golyót helyezünk. A cérna elégetésekor a rugó a golyót leröpíti, és a kocsi az ellentétes irányba indul.</w:t>
      </w:r>
    </w:p>
    <w:p w14:paraId="2F4866E9" w14:textId="77777777" w:rsidR="00C015CA" w:rsidRPr="00C015CA" w:rsidRDefault="00C015CA" w:rsidP="00C015CA">
      <w:pPr>
        <w:pStyle w:val="Listaszerbekezds"/>
        <w:ind w:left="360"/>
        <w:jc w:val="both"/>
      </w:pPr>
    </w:p>
    <w:p w14:paraId="07A0B4BE" w14:textId="77777777" w:rsidR="00C015CA" w:rsidRPr="00C015CA" w:rsidRDefault="00C015CA" w:rsidP="00C015CA">
      <w:pPr>
        <w:pStyle w:val="Listaszerbekezds"/>
        <w:numPr>
          <w:ilvl w:val="0"/>
          <w:numId w:val="9"/>
        </w:numPr>
        <w:jc w:val="both"/>
      </w:pPr>
      <w:r>
        <w:t xml:space="preserve">A kiskocsira helyezett testet a kocsihoz képest c sebességgel kilőve, a kiskocsi </w:t>
      </w:r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v</m:t>
        </m:r>
      </m:oMath>
      <w:r>
        <w:rPr>
          <w:rFonts w:eastAsiaTheme="minorEastAsia"/>
        </w:rPr>
        <w:t xml:space="preserve"> sebességre tesz szert.</w:t>
      </w:r>
    </w:p>
    <w:p w14:paraId="3B428410" w14:textId="77777777" w:rsidR="00F644CC" w:rsidRPr="00C015CA" w:rsidRDefault="00C015CA" w:rsidP="00C015CA">
      <w:pPr>
        <w:pStyle w:val="Listaszerbekezds"/>
        <w:numPr>
          <w:ilvl w:val="0"/>
          <w:numId w:val="9"/>
        </w:numPr>
        <w:jc w:val="both"/>
      </w:pPr>
      <w:r>
        <w:rPr>
          <w:rFonts w:eastAsiaTheme="minorEastAsia"/>
        </w:rPr>
        <w:t xml:space="preserve"> A rendszerre érvényes az impulzus-megmaradás törvénye, vagyis a kezdeti és a szétlökődés utáni impulzusoknak egyezniük kell. </w:t>
      </w:r>
    </w:p>
    <w:p w14:paraId="01D125A5" w14:textId="77777777" w:rsidR="00C015CA" w:rsidRPr="00C015CA" w:rsidRDefault="00C015CA" w:rsidP="00C015CA">
      <w:pPr>
        <w:pStyle w:val="Listaszerbekezds"/>
        <w:ind w:left="360"/>
        <w:jc w:val="both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0=M</m:t>
          </m:r>
          <m:r>
            <m:rPr>
              <m:sty m:val="p"/>
            </m:rPr>
            <w:rPr>
              <w:rFonts w:ascii="Cambria Math" w:hAnsi="Cambria Math"/>
            </w:rPr>
            <m:t>Δ</m:t>
          </m:r>
          <m:r>
            <w:rPr>
              <w:rFonts w:ascii="Cambria Math" w:hAnsi="Cambria Math"/>
            </w:rPr>
            <m:t>v+</m:t>
          </m:r>
          <m:r>
            <m:rPr>
              <m:sty m:val="p"/>
            </m:rPr>
            <w:rPr>
              <w:rFonts w:ascii="Cambria Math" w:hAnsi="Cambria Math"/>
            </w:rPr>
            <m:t>Δ</m:t>
          </m:r>
          <m:r>
            <w:rPr>
              <w:rFonts w:ascii="Cambria Math" w:hAnsi="Cambria Math"/>
            </w:rPr>
            <m:t>mc</m:t>
          </m:r>
        </m:oMath>
      </m:oMathPara>
    </w:p>
    <w:p w14:paraId="4F9DD786" w14:textId="77777777" w:rsidR="00C015CA" w:rsidRDefault="00C015CA" w:rsidP="00C015CA">
      <w:pPr>
        <w:pStyle w:val="Listaszerbekezds"/>
        <w:numPr>
          <w:ilvl w:val="0"/>
          <w:numId w:val="9"/>
        </w:numPr>
        <w:jc w:val="both"/>
      </w:pPr>
      <w:r>
        <w:t>Innen a kiskocsi sebességnövekedése felírható e szerint</w:t>
      </w:r>
    </w:p>
    <w:p w14:paraId="75620C71" w14:textId="77777777" w:rsidR="00C015CA" w:rsidRPr="00F644CC" w:rsidRDefault="00C015CA" w:rsidP="00C015CA">
      <w:pPr>
        <w:pStyle w:val="Listaszerbekezds"/>
        <w:ind w:left="360"/>
        <w:jc w:val="both"/>
      </w:pPr>
      <m:oMathPara>
        <m:oMath>
          <m:r>
            <m:rPr>
              <m:sty m:val="p"/>
            </m:rPr>
            <w:rPr>
              <w:rFonts w:ascii="Cambria Math" w:hAnsi="Cambria Math"/>
            </w:rPr>
            <m:t>Δ</m:t>
          </m:r>
          <m:r>
            <w:rPr>
              <w:rFonts w:ascii="Cambria Math" w:hAnsi="Cambria Math"/>
            </w:rPr>
            <m:t>v=-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r>
                <w:rPr>
                  <w:rFonts w:ascii="Cambria Math" w:hAnsi="Cambria Math"/>
                </w:rPr>
                <m:t>m</m:t>
              </m:r>
            </m:num>
            <m:den>
              <m:r>
                <w:rPr>
                  <w:rFonts w:ascii="Cambria Math" w:hAnsi="Cambria Math"/>
                </w:rPr>
                <m:t>M</m:t>
              </m:r>
            </m:den>
          </m:f>
          <m:r>
            <w:rPr>
              <w:rFonts w:ascii="Cambria Math" w:hAnsi="Cambria Math"/>
            </w:rPr>
            <m:t>c</m:t>
          </m:r>
        </m:oMath>
      </m:oMathPara>
    </w:p>
    <w:p w14:paraId="4D8436F2" w14:textId="77777777" w:rsidR="002F7DB9" w:rsidRDefault="00C015CA" w:rsidP="00C015CA">
      <w:pPr>
        <w:jc w:val="both"/>
      </w:pPr>
      <w:r>
        <w:rPr>
          <w:noProof/>
          <w:lang w:eastAsia="hu-HU"/>
        </w:rPr>
        <w:drawing>
          <wp:anchor distT="0" distB="0" distL="114300" distR="114300" simplePos="0" relativeHeight="251660288" behindDoc="1" locked="0" layoutInCell="1" allowOverlap="1" wp14:anchorId="0E316BF1" wp14:editId="1906AC5C">
            <wp:simplePos x="0" y="0"/>
            <wp:positionH relativeFrom="margin">
              <wp:align>right</wp:align>
            </wp:positionH>
            <wp:positionV relativeFrom="paragraph">
              <wp:posOffset>88265</wp:posOffset>
            </wp:positionV>
            <wp:extent cx="1838325" cy="2495550"/>
            <wp:effectExtent l="0" t="0" r="9525" b="0"/>
            <wp:wrapTight wrapText="bothSides">
              <wp:wrapPolygon edited="0">
                <wp:start x="0" y="0"/>
                <wp:lineTo x="0" y="21435"/>
                <wp:lineTo x="21488" y="21435"/>
                <wp:lineTo x="21488" y="0"/>
                <wp:lineTo x="0" y="0"/>
              </wp:wrapPolygon>
            </wp:wrapTight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2495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43CD155" w14:textId="77777777" w:rsidR="002F7DB9" w:rsidRDefault="002F7DB9" w:rsidP="00C015CA">
      <w:pPr>
        <w:pStyle w:val="Listaszerbekezds"/>
        <w:numPr>
          <w:ilvl w:val="0"/>
          <w:numId w:val="8"/>
        </w:numPr>
        <w:jc w:val="both"/>
      </w:pPr>
      <w:r>
        <w:t>A rakéták gyakorlatilag úgy működnek, hogy az üzemanyag elégetésekor keletkező nagy nyomású gáz a fúvókákon nagy sebességgel kiáramolva impulzust visz el a rendszerből, és a rakétatest - az impulzusmegmaradás törvénye miatt - ellentétes irányba lökődik.</w:t>
      </w:r>
    </w:p>
    <w:p w14:paraId="0C37878B" w14:textId="77777777" w:rsidR="002F7DB9" w:rsidRDefault="00C015CA" w:rsidP="00C015CA">
      <w:pPr>
        <w:pStyle w:val="Listaszerbekezds"/>
        <w:numPr>
          <w:ilvl w:val="0"/>
          <w:numId w:val="8"/>
        </w:numPr>
        <w:jc w:val="both"/>
      </w:pPr>
      <w:r>
        <w:t>A kiskocsis összefüggés segítségével megállapíthatjuk a rakéta sebességváltozását is.</w:t>
      </w:r>
    </w:p>
    <w:p w14:paraId="495794EB" w14:textId="77777777" w:rsidR="00C015CA" w:rsidRPr="006D73CC" w:rsidRDefault="006D73CC" w:rsidP="00C015CA">
      <w:pPr>
        <w:pStyle w:val="Listaszerbekezds"/>
        <w:numPr>
          <w:ilvl w:val="0"/>
          <w:numId w:val="8"/>
        </w:numPr>
        <w:jc w:val="both"/>
      </w:pPr>
      <w:r>
        <w:t xml:space="preserve">Határozzuk meg a v(t) sebességgel mozgó m(t) tömegű rakéta sebességének a </w:t>
      </w:r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t</m:t>
        </m:r>
      </m:oMath>
      <w:r>
        <w:rPr>
          <w:rFonts w:eastAsiaTheme="minorEastAsia"/>
        </w:rPr>
        <w:t xml:space="preserve"> idő alatt bekövetkező növekedését a vele együtt mozgó inerciarendszerhez képest. Legyen az üzemanyag sebessége a rakétatesthez képest c.</w:t>
      </w:r>
    </w:p>
    <w:p w14:paraId="3FF8E8C4" w14:textId="77777777" w:rsidR="006D73CC" w:rsidRPr="006D73CC" w:rsidRDefault="006D73CC" w:rsidP="00C015CA">
      <w:pPr>
        <w:pStyle w:val="Listaszerbekezds"/>
        <w:numPr>
          <w:ilvl w:val="0"/>
          <w:numId w:val="8"/>
        </w:numPr>
        <w:jc w:val="both"/>
      </w:pPr>
      <w:r>
        <w:rPr>
          <w:rFonts w:eastAsiaTheme="minorEastAsia"/>
        </w:rPr>
        <w:t>Az egységnyi idő alatt kilövellt üzemanyag:</w:t>
      </w:r>
    </w:p>
    <w:p w14:paraId="4B068889" w14:textId="77777777" w:rsidR="006D73CC" w:rsidRPr="002F7DB9" w:rsidRDefault="006D73CC" w:rsidP="006D73CC">
      <w:pPr>
        <w:pStyle w:val="Listaszerbekezds"/>
        <w:ind w:left="360"/>
        <w:jc w:val="both"/>
      </w:pPr>
      <m:oMathPara>
        <m:oMath>
          <m:acc>
            <m:accPr>
              <m:chr m:val="̇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m</m:t>
              </m:r>
            </m:e>
          </m:acc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Δ</m:t>
                  </m:r>
                  <m:r>
                    <w:rPr>
                      <w:rFonts w:ascii="Cambria Math" w:hAnsi="Cambria Math"/>
                    </w:rPr>
                    <m:t>t→0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Δ</m:t>
                  </m:r>
                  <m:r>
                    <w:rPr>
                      <w:rFonts w:ascii="Cambria Math" w:hAnsi="Cambria Math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Δ</m:t>
                  </m:r>
                  <m:r>
                    <w:rPr>
                      <w:rFonts w:ascii="Cambria Math" w:hAnsi="Cambria Math"/>
                    </w:rPr>
                    <m:t>t</m:t>
                  </m:r>
                </m:den>
              </m:f>
            </m:e>
          </m:func>
        </m:oMath>
      </m:oMathPara>
    </w:p>
    <w:p w14:paraId="54B0C7BC" w14:textId="77777777" w:rsidR="006D73CC" w:rsidRPr="00612EBC" w:rsidRDefault="006D73CC" w:rsidP="006D73CC">
      <w:pPr>
        <w:pStyle w:val="Listaszerbekezds"/>
        <w:numPr>
          <w:ilvl w:val="0"/>
          <w:numId w:val="8"/>
        </w:numPr>
      </w:pPr>
      <w:r>
        <w:t>A rakétatest sebessége az eddigiek alapján</w:t>
      </w:r>
    </w:p>
    <w:p w14:paraId="1CEB5A94" w14:textId="77777777" w:rsidR="006D73CC" w:rsidRPr="00F644CC" w:rsidRDefault="006D73CC" w:rsidP="006D73CC">
      <w:pPr>
        <w:pStyle w:val="Listaszerbekezds"/>
        <w:ind w:left="360"/>
        <w:jc w:val="both"/>
      </w:pPr>
      <m:oMathPara>
        <m:oMath>
          <m:r>
            <m:rPr>
              <m:sty m:val="p"/>
            </m:rPr>
            <w:rPr>
              <w:rFonts w:ascii="Cambria Math" w:hAnsi="Cambria Math"/>
            </w:rPr>
            <m:t>Δ</m:t>
          </m:r>
          <m:r>
            <w:rPr>
              <w:rFonts w:ascii="Cambria Math" w:hAnsi="Cambria Math"/>
            </w:rPr>
            <m:t>v=-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r>
                <w:rPr>
                  <w:rFonts w:ascii="Cambria Math" w:hAnsi="Cambria Math"/>
                </w:rPr>
                <m:t>m</m:t>
              </m:r>
            </m:num>
            <m:den>
              <m:r>
                <w:rPr>
                  <w:rFonts w:ascii="Cambria Math" w:hAnsi="Cambria Math"/>
                </w:rPr>
                <m:t>M</m:t>
              </m:r>
            </m:den>
          </m:f>
          <m:r>
            <w:rPr>
              <w:rFonts w:ascii="Cambria Math" w:hAnsi="Cambria Math"/>
            </w:rPr>
            <m:t>c</m:t>
          </m:r>
          <m:r>
            <w:rPr>
              <w:rFonts w:ascii="Cambria Math" w:eastAsiaTheme="minorEastAsia" w:hAnsi="Cambria Math"/>
            </w:rPr>
            <m:t>→</m:t>
          </m:r>
          <m:r>
            <m:rPr>
              <m:sty m:val="p"/>
            </m:rPr>
            <w:rPr>
              <w:rFonts w:ascii="Cambria Math" w:hAnsi="Cambria Math"/>
            </w:rPr>
            <m:t>Δ</m:t>
          </m:r>
          <m:r>
            <w:rPr>
              <w:rFonts w:ascii="Cambria Math" w:hAnsi="Cambria Math"/>
            </w:rPr>
            <m:t>v=-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r>
                <w:rPr>
                  <w:rFonts w:ascii="Cambria Math" w:hAnsi="Cambria Math"/>
                </w:rPr>
                <m:t>m</m:t>
              </m:r>
            </m:num>
            <m:den>
              <m:r>
                <w:rPr>
                  <w:rFonts w:ascii="Cambria Math" w:hAnsi="Cambria Math"/>
                </w:rPr>
                <m:t>m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d>
            </m:den>
          </m:f>
          <m:r>
            <w:rPr>
              <w:rFonts w:ascii="Cambria Math" w:hAnsi="Cambria Math"/>
            </w:rPr>
            <m:t>c</m:t>
          </m:r>
          <m:r>
            <w:rPr>
              <w:rFonts w:ascii="Cambria Math" w:eastAsiaTheme="minorEastAsia" w:hAnsi="Cambria Math"/>
            </w:rPr>
            <m:t>=</m:t>
          </m:r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m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r>
                <w:rPr>
                  <w:rFonts w:ascii="Cambria Math" w:hAnsi="Cambria Math"/>
                </w:rPr>
                <m:t>t</m:t>
              </m:r>
            </m:num>
            <m:den>
              <m:r>
                <w:rPr>
                  <w:rFonts w:ascii="Cambria Math" w:hAnsi="Cambria Math"/>
                </w:rPr>
                <m:t>M</m:t>
              </m:r>
            </m:den>
          </m:f>
          <m:r>
            <w:rPr>
              <w:rFonts w:ascii="Cambria Math" w:hAnsi="Cambria Math"/>
            </w:rPr>
            <m:t>c</m:t>
          </m:r>
        </m:oMath>
      </m:oMathPara>
    </w:p>
    <w:p w14:paraId="0BFEAD18" w14:textId="77777777" w:rsidR="006D73CC" w:rsidRDefault="006D73CC" w:rsidP="006D73CC">
      <w:pPr>
        <w:pStyle w:val="Listaszerbekezds"/>
        <w:numPr>
          <w:ilvl w:val="0"/>
          <w:numId w:val="8"/>
        </w:numPr>
        <w:jc w:val="both"/>
      </w:pPr>
      <w:r>
        <w:t>Mivel az</w:t>
      </w:r>
    </w:p>
    <w:p w14:paraId="44433694" w14:textId="77777777" w:rsidR="006D73CC" w:rsidRPr="00F644CC" w:rsidRDefault="006D73CC" w:rsidP="006D73CC">
      <w:pPr>
        <w:pStyle w:val="Listaszerbekezds"/>
        <w:ind w:left="360"/>
        <w:jc w:val="both"/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[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ln</m:t>
              </m:r>
            </m:fName>
            <m:e>
              <m:r>
                <w:rPr>
                  <w:rFonts w:ascii="Cambria Math" w:hAnsi="Cambria Math"/>
                </w:rPr>
                <m:t>m(t)]</m:t>
              </m:r>
            </m:e>
          </m:func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m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d>
            </m:den>
          </m:f>
          <m:acc>
            <m:accPr>
              <m:chr m:val="̇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m</m:t>
              </m:r>
            </m:e>
          </m:acc>
          <m:r>
            <w:rPr>
              <w:rFonts w:ascii="Cambria Math" w:hAnsi="Cambria Math"/>
            </w:rPr>
            <m:t>(t)</m:t>
          </m:r>
        </m:oMath>
      </m:oMathPara>
    </w:p>
    <w:p w14:paraId="6191A2D5" w14:textId="77777777" w:rsidR="00612EBC" w:rsidRPr="006D73CC" w:rsidRDefault="006D73CC" w:rsidP="006D73CC">
      <w:pPr>
        <w:pStyle w:val="Listaszerbekezds"/>
        <w:numPr>
          <w:ilvl w:val="0"/>
          <w:numId w:val="8"/>
        </w:numPr>
      </w:pPr>
      <w:r>
        <w:t xml:space="preserve">ezért a </w:t>
      </w:r>
      <w:r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  <w:r>
        <w:t xml:space="preserve"> kezdetben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rPr>
          <w:rFonts w:eastAsiaTheme="minorEastAsia"/>
        </w:rPr>
        <w:t xml:space="preserve"> tömegű rakéta sebességének növekedése</w:t>
      </w:r>
    </w:p>
    <w:p w14:paraId="2B20A1C4" w14:textId="77777777" w:rsidR="006D73CC" w:rsidRPr="006D73CC" w:rsidRDefault="006D73CC" w:rsidP="006D73CC">
      <w:pPr>
        <w:pStyle w:val="Listaszerbekezds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v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-v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0</m:t>
              </m:r>
            </m:e>
          </m:d>
          <m:r>
            <w:rPr>
              <w:rFonts w:ascii="Cambria Math" w:hAnsi="Cambria Math"/>
            </w:rPr>
            <m:t>=-c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ln</m:t>
              </m:r>
            </m:fName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m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</m:d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</m:den>
              </m:f>
            </m:e>
          </m:func>
          <m:r>
            <w:rPr>
              <w:rFonts w:ascii="Cambria Math" w:hAnsi="Cambria Math"/>
            </w:rPr>
            <m:t>=c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ln</m:t>
              </m:r>
            </m:fName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m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</m:d>
                </m:den>
              </m:f>
            </m:e>
          </m:func>
        </m:oMath>
      </m:oMathPara>
    </w:p>
    <w:p w14:paraId="1DEAB49F" w14:textId="77777777" w:rsidR="006D73CC" w:rsidRDefault="009E6B10" w:rsidP="006D73CC">
      <w:pPr>
        <w:pStyle w:val="Listaszerbekezds"/>
        <w:numPr>
          <w:ilvl w:val="0"/>
          <w:numId w:val="8"/>
        </w:numPr>
      </w:pPr>
      <w:r>
        <w:t>Ebből adódik, hogy a kezdősebesség nélkül induló rakéta által elérhető maximális sebesség a</w:t>
      </w:r>
    </w:p>
    <w:p w14:paraId="501FF820" w14:textId="77777777" w:rsidR="009E6B10" w:rsidRPr="009E6B10" w:rsidRDefault="009E6B10" w:rsidP="009E6B10">
      <w:pPr>
        <w:pStyle w:val="Listaszerbekezds"/>
        <w:ind w:left="360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max</m:t>
              </m:r>
            </m:sub>
          </m:sSub>
          <m:r>
            <w:rPr>
              <w:rFonts w:ascii="Cambria Math" w:hAnsi="Cambria Math"/>
            </w:rPr>
            <m:t>=c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ln</m:t>
              </m:r>
            </m:fName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h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ü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h</m:t>
                      </m:r>
                    </m:sub>
                  </m:sSub>
                </m:den>
              </m:f>
            </m:e>
          </m:func>
          <m:r>
            <w:rPr>
              <w:rFonts w:ascii="Cambria Math" w:hAnsi="Cambria Math"/>
            </w:rPr>
            <m:t>=c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ln</m:t>
              </m:r>
            </m:fName>
            <m:e>
              <m:r>
                <w:rPr>
                  <w:rFonts w:ascii="Cambria Math" w:hAnsi="Cambria Math"/>
                </w:rPr>
                <m:t>K</m:t>
              </m:r>
            </m:e>
          </m:func>
        </m:oMath>
      </m:oMathPara>
    </w:p>
    <w:p w14:paraId="757EBE96" w14:textId="77777777" w:rsidR="009E6B10" w:rsidRDefault="009E6B10" w:rsidP="009E6B10">
      <w:pPr>
        <w:pStyle w:val="Listaszerbekezds"/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m</m:t>
            </m:r>
          </m:e>
          <m:sub>
            <m:r>
              <w:rPr>
                <w:rFonts w:ascii="Cambria Math" w:eastAsiaTheme="minorEastAsia" w:hAnsi="Cambria Math"/>
              </w:rPr>
              <m:t>h</m:t>
            </m:r>
          </m:sub>
        </m:sSub>
      </m:oMath>
      <w:r>
        <w:rPr>
          <w:rFonts w:eastAsiaTheme="minorEastAsia"/>
        </w:rPr>
        <w:t xml:space="preserve">: hasznos tömeg, </w:t>
      </w:r>
      <m:oMath>
        <m:r>
          <w:rPr>
            <w:rFonts w:ascii="Cambria Math" w:eastAsiaTheme="minorEastAsia" w:hAnsi="Cambria Math"/>
          </w:rPr>
          <m:t>K=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h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ü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h</m:t>
                </m:r>
              </m:sub>
            </m:sSub>
          </m:den>
        </m:f>
      </m:oMath>
      <w:r>
        <w:rPr>
          <w:rFonts w:eastAsiaTheme="minorEastAsia"/>
        </w:rPr>
        <w:t>: a rakétára jellemző tömeg arány.</w:t>
      </w:r>
    </w:p>
    <w:p w14:paraId="1A626DF7" w14:textId="77777777" w:rsidR="009E6B10" w:rsidRPr="009E6B10" w:rsidRDefault="009E6B10" w:rsidP="009E6B10">
      <w:pPr>
        <w:pStyle w:val="Listaszerbekezds"/>
        <w:numPr>
          <w:ilvl w:val="0"/>
          <w:numId w:val="8"/>
        </w:numPr>
        <w:rPr>
          <w:rFonts w:eastAsiaTheme="minorEastAsia"/>
        </w:rPr>
      </w:pPr>
      <w:r>
        <w:rPr>
          <w:rFonts w:eastAsiaTheme="minorEastAsia"/>
        </w:rPr>
        <w:lastRenderedPageBreak/>
        <w:t>A rakéták sebességének az üzemanyag és a hasznos tömeg aránya szab határt. Ez egy bizonyos határon túl már csak úgy javítható, ha leválasztanak bizonyos részeket a rakétákról. Esetleg az eredeti rakéta további rakétákat tartalmat: ezek a többfokozatú rakéták.</w:t>
      </w:r>
      <w:bookmarkStart w:id="0" w:name="_GoBack"/>
      <w:bookmarkEnd w:id="0"/>
    </w:p>
    <w:p w14:paraId="4D215EBE" w14:textId="77777777" w:rsidR="00612EBC" w:rsidRPr="00612EBC" w:rsidRDefault="00612EBC" w:rsidP="00612EBC">
      <w:pPr>
        <w:pStyle w:val="Listaszerbekezds"/>
        <w:ind w:left="360"/>
      </w:pPr>
    </w:p>
    <w:sectPr w:rsidR="00612EBC" w:rsidRPr="00612E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361E2"/>
    <w:multiLevelType w:val="hybridMultilevel"/>
    <w:tmpl w:val="5A422F62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13B2CCA"/>
    <w:multiLevelType w:val="hybridMultilevel"/>
    <w:tmpl w:val="E506D3DE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4E0206"/>
    <w:multiLevelType w:val="hybridMultilevel"/>
    <w:tmpl w:val="B5E465A4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1613C0A"/>
    <w:multiLevelType w:val="hybridMultilevel"/>
    <w:tmpl w:val="F4668D14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087F8A"/>
    <w:multiLevelType w:val="hybridMultilevel"/>
    <w:tmpl w:val="5DD2C54C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BC01B83"/>
    <w:multiLevelType w:val="hybridMultilevel"/>
    <w:tmpl w:val="2D988830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11E1F57"/>
    <w:multiLevelType w:val="hybridMultilevel"/>
    <w:tmpl w:val="F9BAE458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C3F5DA6"/>
    <w:multiLevelType w:val="hybridMultilevel"/>
    <w:tmpl w:val="659CA3AE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D6D171E"/>
    <w:multiLevelType w:val="hybridMultilevel"/>
    <w:tmpl w:val="7AAE0868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3"/>
  </w:num>
  <w:num w:numId="5">
    <w:abstractNumId w:val="2"/>
  </w:num>
  <w:num w:numId="6">
    <w:abstractNumId w:val="1"/>
  </w:num>
  <w:num w:numId="7">
    <w:abstractNumId w:val="5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04B5"/>
    <w:rsid w:val="002F7DB9"/>
    <w:rsid w:val="00415E61"/>
    <w:rsid w:val="00443DFC"/>
    <w:rsid w:val="004C3692"/>
    <w:rsid w:val="005B098F"/>
    <w:rsid w:val="00612EBC"/>
    <w:rsid w:val="006D73CC"/>
    <w:rsid w:val="006D7D0E"/>
    <w:rsid w:val="0086171E"/>
    <w:rsid w:val="00966906"/>
    <w:rsid w:val="009E6B10"/>
    <w:rsid w:val="00B60BFE"/>
    <w:rsid w:val="00C015CA"/>
    <w:rsid w:val="00F644CC"/>
    <w:rsid w:val="00F80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8A8BA"/>
  <w15:chartTrackingRefBased/>
  <w15:docId w15:val="{48C19BD2-2CE0-4E92-B9CD-51219B38C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F804B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m">
    <w:name w:val="Title"/>
    <w:basedOn w:val="Norml"/>
    <w:next w:val="Norml"/>
    <w:link w:val="CmChar"/>
    <w:uiPriority w:val="10"/>
    <w:qFormat/>
    <w:rsid w:val="00F804B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F804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sor1Char">
    <w:name w:val="Címsor 1 Char"/>
    <w:basedOn w:val="Bekezdsalapbettpusa"/>
    <w:link w:val="Cmsor1"/>
    <w:uiPriority w:val="9"/>
    <w:rsid w:val="00F804B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aszerbekezds">
    <w:name w:val="List Paragraph"/>
    <w:basedOn w:val="Norml"/>
    <w:uiPriority w:val="34"/>
    <w:qFormat/>
    <w:rsid w:val="00F804B5"/>
    <w:pPr>
      <w:ind w:left="720"/>
      <w:contextualSpacing/>
    </w:pPr>
  </w:style>
  <w:style w:type="character" w:styleId="Helyrzszveg">
    <w:name w:val="Placeholder Text"/>
    <w:basedOn w:val="Bekezdsalapbettpusa"/>
    <w:uiPriority w:val="99"/>
    <w:semiHidden/>
    <w:rsid w:val="00F804B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4</Pages>
  <Words>747</Words>
  <Characters>5155</Characters>
  <Application>Microsoft Office Word</Application>
  <DocSecurity>0</DocSecurity>
  <Lines>42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Ekart Csaba</dc:creator>
  <cp:keywords/>
  <dc:description/>
  <cp:lastModifiedBy>Ekart Csaba</cp:lastModifiedBy>
  <cp:revision>1</cp:revision>
  <dcterms:created xsi:type="dcterms:W3CDTF">2017-05-27T15:45:00Z</dcterms:created>
  <dcterms:modified xsi:type="dcterms:W3CDTF">2017-05-27T17:32:00Z</dcterms:modified>
</cp:coreProperties>
</file>